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201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01920"/>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Linden Josephine</w:t>
              </w:r>
            </w:hyperlink>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Innoviva,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INVA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gridSpan w:val="2"/>
          </w:tcPr>
          <w:p>
            <w:pPr>
              <w:spacing w:after="0"/>
              <w:rPr>
                <w:sz w:val="6"/>
                <w:szCs w:val="6"/>
                <w:color w:val="auto"/>
              </w:rPr>
            </w:pPr>
          </w:p>
        </w:tc>
        <w:tc>
          <w:tcPr>
            <w:tcW w:w="9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2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INNOVIVA, INC.</w:t>
            </w:r>
          </w:p>
        </w:tc>
        <w:tc>
          <w:tcPr>
            <w:tcW w:w="1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1350 OLD BAYSHORE HIGHWAY, SUITE 400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BURLINGAME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94010</w:t>
            </w: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10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20"/>
              <w:spacing w:after="0" w:line="306" w:lineRule="exact"/>
              <w:rPr>
                <w:sz w:val="20"/>
                <w:szCs w:val="20"/>
                <w:color w:val="auto"/>
              </w:rPr>
            </w:pPr>
            <w:r>
              <w:rPr>
                <w:rFonts w:ascii="Times New Roman" w:cs="Times New Roman" w:eastAsia="Times New Roman" w:hAnsi="Times New Roman"/>
                <w:sz w:val="33"/>
                <w:szCs w:val="33"/>
                <w:color w:val="0000FF"/>
                <w:w w:val="85"/>
                <w:vertAlign w:val="subscript"/>
              </w:rPr>
              <w:t>5,733</w:t>
            </w:r>
            <w:r>
              <w:rPr>
                <w:rFonts w:ascii="Times New Roman" w:cs="Times New Roman" w:eastAsia="Times New Roman" w:hAnsi="Times New Roman"/>
                <w:sz w:val="11"/>
                <w:szCs w:val="11"/>
                <w:color w:val="008000"/>
                <w:w w:val="85"/>
              </w:rPr>
              <w:t>(1)(2)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5,733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20"/>
              <w:spacing w:after="0" w:line="306" w:lineRule="exact"/>
              <w:rPr>
                <w:sz w:val="20"/>
                <w:szCs w:val="20"/>
                <w:color w:val="auto"/>
              </w:rPr>
            </w:pPr>
            <w:r>
              <w:rPr>
                <w:rFonts w:ascii="Times New Roman" w:cs="Times New Roman" w:eastAsia="Times New Roman" w:hAnsi="Times New Roman"/>
                <w:sz w:val="33"/>
                <w:szCs w:val="33"/>
                <w:color w:val="0000FF"/>
                <w:w w:val="85"/>
                <w:vertAlign w:val="subscript"/>
              </w:rPr>
              <w:t>9,461</w:t>
            </w:r>
            <w:r>
              <w:rPr>
                <w:rFonts w:ascii="Times New Roman" w:cs="Times New Roman" w:eastAsia="Times New Roman" w:hAnsi="Times New Roman"/>
                <w:sz w:val="11"/>
                <w:szCs w:val="11"/>
                <w:color w:val="008000"/>
                <w:w w:val="85"/>
              </w:rPr>
              <w:t>(1)(3)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15,194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statutory</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21.8</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9,166</w:t>
            </w:r>
          </w:p>
        </w:tc>
        <w:tc>
          <w:tcPr>
            <w:tcW w:w="280" w:type="dxa"/>
            <w:vAlign w:val="bottom"/>
          </w:tcPr>
          <w:p>
            <w:pPr>
              <w:spacing w:after="0"/>
              <w:rPr>
                <w:sz w:val="17"/>
                <w:szCs w:val="17"/>
                <w:color w:val="auto"/>
              </w:rPr>
            </w:pPr>
          </w:p>
        </w:tc>
        <w:tc>
          <w:tcPr>
            <w:tcW w:w="102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3"/>
                <w:szCs w:val="13"/>
                <w:color w:val="0000FF"/>
              </w:rPr>
              <w:t>05/18/2027</w:t>
            </w:r>
            <w:r>
              <w:rPr>
                <w:rFonts w:ascii="Times New Roman" w:cs="Times New Roman" w:eastAsia="Times New Roman" w:hAnsi="Times New Roman"/>
                <w:sz w:val="21"/>
                <w:szCs w:val="21"/>
                <w:color w:val="008000"/>
                <w:vertAlign w:val="superscript"/>
              </w:rPr>
              <w:t>(1)(3)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05/17/2036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9,166</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9,166</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66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and non-statutory stock options ("Options") upon their appointment to the Issuer's Board of Directors ("Board") on May 18, 2026 (the "Effective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installments on each of the first two anniversaries of the Effective Date.</w:t>
      </w:r>
    </w:p>
    <w:p>
      <w:pPr>
        <w:spacing w:after="0" w:line="42" w:lineRule="exact"/>
        <w:rPr>
          <w:rFonts w:ascii="Times New Roman" w:cs="Times New Roman" w:eastAsia="Times New Roman" w:hAnsi="Times New Roman"/>
          <w:sz w:val="13"/>
          <w:szCs w:val="13"/>
          <w:color w:val="008000"/>
        </w:rPr>
      </w:pPr>
    </w:p>
    <w:p>
      <w:pPr>
        <w:ind w:left="40" w:right="4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and additional RSUs were granted and will vest at the sooner of the next annual stockholder meeting or the one-year anniversary of the Effective Date, subject to the Reporting Person's continuous service as an Outside Director through the applicable vesting date, with accelerated vesting upon the Reporting Person's death, disability, or in the event of a "change in control" (as defined in the Issuer's 2026 Equity Incentive Plan), provided that the Reporting Person has not experienced a termination prior to such "change in control," death or disability.</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Josephine Linden</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05/20/2026</w:t>
            </w:r>
          </w:p>
        </w:tc>
      </w:tr>
      <w:tr>
        <w:trPr>
          <w:trHeight w:val="20"/>
        </w:trPr>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7313" TargetMode="External"/><Relationship Id="rId14" Type="http://schemas.openxmlformats.org/officeDocument/2006/relationships/hyperlink" Target="http://www.sec.gov/cgi-bin/browse-edgar?action=getcompany&amp;CIK=0001080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2026-05-20T15:28:34Z</dcterms:created>
  <dcterms:modified xsi:type="dcterms:W3CDTF">2026-05-20T15:28:34Z</dcterms:modified>
</cp:coreProperties>
</file>